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2"/>
        <w:numPr>
          <w:ilvl w:val="0"/>
          <w:numId w:val="0"/>
        </w:numPr>
        <w:spacing w:before="0" w:after="0"/>
        <w:ind w:left="0" w:hanging="0"/>
        <w:jc w:val="center"/>
        <w:rPr/>
      </w:pPr>
      <w:bookmarkStart w:id="0" w:name="_Toc79582906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>
        <w:rPr>
          <w:b/>
          <w:sz w:val="24"/>
          <w:szCs w:val="24"/>
        </w:rPr>
        <w:t>Разъяснение 2</w:t>
      </w:r>
    </w:p>
    <w:p>
      <w:pPr>
        <w:pStyle w:val="Normal"/>
        <w:spacing w:lineRule="auto" w:line="240"/>
        <w:ind w:hanging="0"/>
        <w:jc w:val="center"/>
        <w:rPr>
          <w:rFonts w:ascii="Times New Roman" w:hAnsi="Times New Roman"/>
          <w:sz w:val="24"/>
          <w:szCs w:val="24"/>
        </w:rPr>
      </w:pPr>
      <w:r>
        <w:rPr>
          <w:i/>
          <w:sz w:val="24"/>
          <w:szCs w:val="24"/>
          <w:shd w:fill="FFFF99" w:val="clear"/>
        </w:rPr>
        <w:br/>
      </w: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  <w:t>к Документации о закупке</w:t>
      </w:r>
      <w:r>
        <w:rPr>
          <w:rFonts w:eastAsia="Times New Roman" w:cs="Times New Roman"/>
          <w:color w:val="00000A"/>
          <w:sz w:val="24"/>
          <w:szCs w:val="24"/>
          <w:shd w:fill="FFFFFF" w:val="clear"/>
          <w:lang w:val="ru-RU" w:eastAsia="ru-RU" w:bidi="ar-SA"/>
        </w:rPr>
        <w:t xml:space="preserve"> Запрос предложений в электронной форме, участниками которого могут быть только субъекты малого и среднего предпринимательства</w:t>
      </w:r>
    </w:p>
    <w:p>
      <w:pPr>
        <w:pStyle w:val="Normal"/>
        <w:spacing w:lineRule="auto" w:line="240"/>
        <w:ind w:hanging="0"/>
        <w:jc w:val="center"/>
        <w:rPr/>
      </w:pPr>
      <w:r>
        <w:rPr>
          <w:rStyle w:val="Style8"/>
          <w:rFonts w:eastAsia="Times New Roman" w:cs="Times New Roman"/>
          <w:color w:val="00000A"/>
          <w:sz w:val="24"/>
          <w:szCs w:val="24"/>
          <w:shd w:fill="FFFFFF" w:val="clear"/>
          <w:lang w:eastAsia="ru-RU" w:bidi="ar-SA"/>
        </w:rPr>
        <w:t>ОКПД2 42.22.22.110 Мероприятия по строительству для технологического присоединения потребителя ГБУ «Строитель» в г.Благовещенске к сетям 10-0,4 кВ лот 309701-КС ПИР СМР-2026-ДРСК-АЭС</w:t>
      </w:r>
    </w:p>
    <w:p>
      <w:pPr>
        <w:pStyle w:val="Normal"/>
        <w:spacing w:lineRule="auto" w:line="240"/>
        <w:ind w:hanging="0"/>
        <w:jc w:val="left"/>
        <w:rPr>
          <w:rFonts w:ascii="Times New Roman" w:hAnsi="Times New Roman" w:eastAsia="Times New Roman" w:cs="Times New Roman"/>
          <w:color w:val="00000A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</w:p>
    <w:p>
      <w:pPr>
        <w:pStyle w:val="Normal"/>
        <w:spacing w:lineRule="auto" w:line="240"/>
        <w:ind w:hanging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tabs>
          <w:tab w:val="clear" w:pos="720"/>
          <w:tab w:val="right" w:pos="1276" w:leader="none"/>
          <w:tab w:val="right" w:pos="9360" w:leader="none"/>
          <w:tab w:val="right" w:pos="10065" w:leader="none"/>
        </w:tabs>
        <w:spacing w:lineRule="auto" w:line="240"/>
        <w:ind w:hanging="0"/>
        <w:jc w:val="both"/>
        <w:rPr>
          <w:rFonts w:ascii="Times New Roman" w:hAnsi="Times New Roman"/>
          <w:b w:val="false"/>
          <w:bCs w:val="false"/>
          <w:sz w:val="24"/>
          <w:szCs w:val="24"/>
          <w:highlight w:val="white"/>
        </w:rPr>
      </w:pPr>
      <w:r>
        <w:rPr>
          <w:sz w:val="24"/>
          <w:szCs w:val="24"/>
        </w:rPr>
        <w:t>Разъяснения требований Заказчика</w:t>
      </w:r>
    </w:p>
    <w:p>
      <w:pPr>
        <w:pStyle w:val="Normal"/>
        <w:spacing w:lineRule="auto" w:line="240" w:before="240" w:after="0"/>
        <w:ind w:hanging="0"/>
        <w:rPr>
          <w:rFonts w:ascii="Times New Roman" w:hAnsi="Times New Roman"/>
          <w:sz w:val="24"/>
          <w:szCs w:val="24"/>
        </w:rPr>
      </w:pPr>
      <w:r>
        <w:rPr>
          <w:color w:val="16181C"/>
          <w:sz w:val="24"/>
          <w:szCs w:val="24"/>
          <w:u w:val="single"/>
        </w:rPr>
        <w:t>Дата поступления запроса о разъяснениях</w:t>
      </w:r>
      <w:r>
        <w:rPr>
          <w:color w:val="16181C"/>
          <w:sz w:val="24"/>
          <w:szCs w:val="24"/>
        </w:rPr>
        <w:t>: 17.07.2026 05:20 MCK</w:t>
      </w:r>
    </w:p>
    <w:p>
      <w:pPr>
        <w:pStyle w:val="Normal"/>
        <w:spacing w:lineRule="auto" w:line="240" w:before="240" w:after="0"/>
        <w:ind w:hanging="0"/>
        <w:rPr>
          <w:rFonts w:ascii="Times New Roman" w:hAnsi="Times New Roman"/>
          <w:sz w:val="24"/>
          <w:szCs w:val="24"/>
        </w:rPr>
      </w:pPr>
      <w:r>
        <w:rPr>
          <w:color w:val="16181C"/>
          <w:sz w:val="24"/>
          <w:szCs w:val="24"/>
          <w:u w:val="single"/>
        </w:rPr>
        <w:t xml:space="preserve">Сведения о предмете запроса: </w:t>
      </w:r>
      <w:r>
        <w:rPr>
          <w:color w:val="16181C"/>
          <w:sz w:val="24"/>
          <w:szCs w:val="24"/>
        </w:rPr>
        <w:t xml:space="preserve">Уточняющие </w:t>
      </w:r>
      <w:r>
        <w:rPr>
          <w:rFonts w:eastAsia="Times New Roman" w:cs="Times New Roman"/>
          <w:color w:val="16181C"/>
          <w:sz w:val="24"/>
          <w:szCs w:val="24"/>
          <w:lang w:val="ru-RU" w:eastAsia="ru-RU" w:bidi="ar-SA"/>
        </w:rPr>
        <w:t>вопросы</w:t>
      </w:r>
      <w:r>
        <w:rPr>
          <w:color w:val="16181C"/>
          <w:sz w:val="24"/>
          <w:szCs w:val="24"/>
        </w:rPr>
        <w:t xml:space="preserve"> Участника</w:t>
      </w:r>
    </w:p>
    <w:p>
      <w:pPr>
        <w:pStyle w:val="Normal"/>
        <w:spacing w:lineRule="auto" w:line="240" w:before="240" w:after="0"/>
        <w:ind w:hanging="0"/>
        <w:rPr>
          <w:rFonts w:ascii="Times New Roman" w:hAnsi="Times New Roman"/>
          <w:color w:val="16181C"/>
          <w:sz w:val="24"/>
          <w:szCs w:val="24"/>
        </w:rPr>
      </w:pPr>
      <w:r>
        <w:rPr>
          <w:color w:val="16181C"/>
          <w:sz w:val="24"/>
          <w:szCs w:val="24"/>
        </w:rPr>
      </w:r>
    </w:p>
    <w:p>
      <w:pPr>
        <w:pStyle w:val="BodyText"/>
        <w:tabs>
          <w:tab w:val="right" w:pos="1276" w:leader="none"/>
          <w:tab w:val="right" w:pos="9360" w:leader="none"/>
          <w:tab w:val="right" w:pos="10065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u w:val="single"/>
        </w:rPr>
        <w:t>Вопрос</w:t>
      </w:r>
      <w:r>
        <w:rPr>
          <w:b/>
          <w:sz w:val="24"/>
          <w:szCs w:val="24"/>
        </w:rPr>
        <w:t xml:space="preserve">: </w:t>
      </w:r>
    </w:p>
    <w:p>
      <w:pPr>
        <w:pStyle w:val="BodyText"/>
        <w:tabs>
          <w:tab w:val="right" w:pos="1276" w:leader="none"/>
          <w:tab w:val="right" w:pos="9360" w:leader="none"/>
          <w:tab w:val="right" w:pos="10065" w:leader="none"/>
        </w:tabs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/>
          <w:color w:val="16181C"/>
          <w:sz w:val="24"/>
          <w:szCs w:val="24"/>
          <w:lang w:val="ru-RU" w:eastAsia="ru-RU" w:bidi="ar-SA"/>
        </w:rPr>
        <w:br/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ru-RU" w:eastAsia="ru-RU" w:bidi="ar-SA"/>
        </w:rPr>
        <w:t>Объём выполнения работ по строительству ЛЭП 10 кВ, указанный в проекте рабочей документации «КЛ 10 кВ, ВЛ 10 кВ с ТП 10/0,4 кВ г.Благовещенск (строительство), (ГКУ Амурской области «Строитель»)» (Шифр 1023-118/25-ЭС) приложение № 1 к Техническим требованиям на выполнение работ, в целом не соответствует объёму работ – учтённому в сметных расчётах, приложенных в составе документации о закупке. Один из примеров, «Строительство КЛ 10 кВ – устройство ввода»: в ведомости объём работ (1023-118/25-ЭС.ВР) п. 1.5 – 2 шт.; в смете № 1 п. 5 – 1 шт.</w:t>
      </w:r>
    </w:p>
    <w:p>
      <w:pPr>
        <w:pStyle w:val="BodyText"/>
        <w:tabs>
          <w:tab w:val="right" w:pos="1276" w:leader="none"/>
          <w:tab w:val="right" w:pos="9360" w:leader="none"/>
          <w:tab w:val="right" w:pos="10065" w:leader="none"/>
        </w:tabs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ru-RU" w:eastAsia="ru-RU" w:bidi="ar-SA"/>
        </w:rPr>
        <w:t>Прошу разъяснить какие конкретно объёмы работ необходимо выполнить по данной закупке, а также где и как это задокументировано (ссылка на проект в п. 2.1.1. Технических требований на выполнение работ – недостаточна).</w:t>
      </w:r>
      <w:r>
        <w:rPr>
          <w:rFonts w:eastAsia="Times New Roman" w:cs="Times New Roman"/>
          <w:color w:val="16181C"/>
          <w:sz w:val="24"/>
          <w:szCs w:val="24"/>
          <w:lang w:val="ru-RU" w:eastAsia="ru-RU" w:bidi="ar-SA"/>
        </w:rPr>
        <w:br/>
      </w:r>
    </w:p>
    <w:p>
      <w:pPr>
        <w:pStyle w:val="BodyText"/>
        <w:tabs>
          <w:tab w:val="right" w:pos="1276" w:leader="none"/>
          <w:tab w:val="right" w:pos="9360" w:leader="none"/>
          <w:tab w:val="right" w:pos="10065" w:leader="none"/>
        </w:tabs>
        <w:spacing w:lineRule="auto" w:line="240"/>
        <w:jc w:val="both"/>
        <w:rPr/>
      </w:pPr>
      <w:r>
        <w:rPr>
          <w:b/>
          <w:sz w:val="24"/>
          <w:szCs w:val="24"/>
          <w:u w:val="none"/>
        </w:rPr>
        <w:t>Ответ:</w:t>
      </w:r>
    </w:p>
    <w:p>
      <w:pPr>
        <w:pStyle w:val="BodyText"/>
        <w:tabs>
          <w:tab w:val="right" w:pos="1276" w:leader="none"/>
          <w:tab w:val="right" w:pos="9360" w:leader="none"/>
          <w:tab w:val="right" w:pos="10065" w:leader="none"/>
        </w:tabs>
        <w:spacing w:lineRule="auto" w:line="240"/>
        <w:jc w:val="both"/>
        <w:rPr>
          <w:rFonts w:ascii="Times New Roman" w:hAnsi="Times New Roman"/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</w:r>
    </w:p>
    <w:p>
      <w:pPr>
        <w:pStyle w:val="BodyText"/>
        <w:widowControl/>
        <w:tabs>
          <w:tab w:val="right" w:pos="1276" w:leader="none"/>
          <w:tab w:val="right" w:pos="9360" w:leader="none"/>
          <w:tab w:val="right" w:pos="10065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u w:val="none"/>
        </w:rPr>
        <w:t>В соответствии с СП 48.13330.2019 «Свод правил. Организация строительства» работы выполняются в соответствии с утверждённой проектной и рабочей документацией.</w:t>
      </w:r>
    </w:p>
    <w:p>
      <w:pPr>
        <w:pStyle w:val="BodyText"/>
        <w:widowControl/>
        <w:tabs>
          <w:tab w:val="right" w:pos="1276" w:leader="none"/>
          <w:tab w:val="right" w:pos="9360" w:leader="none"/>
          <w:tab w:val="right" w:pos="10065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u w:val="none"/>
        </w:rPr>
        <w:t>Утверждённая проектная документация передаётся заказчиком лицу, осуществляющему строительство (подрядной организации) на бумажном и электронных носителях (п.5.13 СП 48.13330.2019)..</w:t>
      </w:r>
    </w:p>
    <w:p>
      <w:pPr>
        <w:pStyle w:val="BodyText"/>
        <w:widowControl/>
        <w:tabs>
          <w:tab w:val="right" w:pos="1276" w:leader="none"/>
          <w:tab w:val="right" w:pos="9360" w:leader="none"/>
          <w:tab w:val="right" w:pos="10065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u w:val="none"/>
        </w:rPr>
        <w:t>В соответствии с п. 5.18 СП 48.13330.2019 при входном контроле рабочей документации лицу, осуществляющему строительство, следует проанализировать всю представленную рабочую документацию и организационно-технологические решения в составе переданной утвержденной проектной документации.</w:t>
      </w:r>
    </w:p>
    <w:p>
      <w:pPr>
        <w:pStyle w:val="BodyText"/>
        <w:widowControl/>
        <w:tabs>
          <w:tab w:val="right" w:pos="1276" w:leader="none"/>
          <w:tab w:val="right" w:pos="9360" w:leader="none"/>
          <w:tab w:val="right" w:pos="10065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  <w:u w:val="none"/>
        </w:rPr>
        <w:t>На основании вышеизложенного, необходимая для производства работ информация (объёмы, месторасположение, применяемые материалы и оборудования и т. п.) представлена в рабочей документации (Приложение № 1 к Техническим требованиям).</w:t>
      </w:r>
    </w:p>
    <w:p>
      <w:pPr>
        <w:pStyle w:val="BodyText"/>
        <w:widowControl/>
        <w:tabs>
          <w:tab w:val="right" w:pos="1276" w:leader="none"/>
          <w:tab w:val="right" w:pos="9360" w:leader="none"/>
          <w:tab w:val="right" w:pos="10065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b w:val="false"/>
          <w:bCs w:val="false"/>
          <w:sz w:val="24"/>
          <w:szCs w:val="24"/>
          <w:u w:val="none"/>
        </w:rPr>
        <w:t>В случае поступления от подрядной организации замечаний и предложений к рабочей документации, они будут рассмотрены заказчиком и, в случае необходимости, внесены необходимые изменения в рабочую документацию. Возможное увеличение общей стоимости работ будет компенсировано за счёт включённых в сметные расчёты непредвиденных затрат.</w:t>
      </w:r>
    </w:p>
    <w:p>
      <w:pPr>
        <w:pStyle w:val="BodyText"/>
        <w:widowControl/>
        <w:tabs>
          <w:tab w:val="right" w:pos="1276" w:leader="none"/>
          <w:tab w:val="right" w:pos="9360" w:leader="none"/>
          <w:tab w:val="right" w:pos="10065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/>
          <w:b w:val="false"/>
          <w:bCs w:val="false"/>
          <w:sz w:val="24"/>
          <w:szCs w:val="24"/>
          <w:u w:val="none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8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275bf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uiPriority w:val="9"/>
    <w:qFormat/>
    <w:rsid w:val="004275bf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qFormat/>
    <w:rsid w:val="004275bf"/>
    <w:pPr>
      <w:keepNext w:val="true"/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275bf"/>
    <w:pPr>
      <w:keepNext w:val="true"/>
      <w:tabs>
        <w:tab w:val="clear" w:pos="720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4275bf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4275bf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4275bf"/>
    <w:rPr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4275bf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4275b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  <w:lang w:eastAsia="ru-RU"/>
    </w:rPr>
  </w:style>
  <w:style w:type="character" w:styleId="Hyperlink">
    <w:name w:val="Hyperlink"/>
    <w:basedOn w:val="DefaultParagraphFont"/>
    <w:uiPriority w:val="99"/>
    <w:unhideWhenUsed/>
    <w:rsid w:val="00a82143"/>
    <w:rPr>
      <w:color w:val="0563C1" w:themeColor="hyperlink"/>
      <w:u w:val="single"/>
    </w:rPr>
  </w:style>
  <w:style w:type="character" w:styleId="Style8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9">
    <w:name w:val="Заголовок Знак"/>
    <w:qFormat/>
    <w:rPr>
      <w:b/>
      <w:sz w:val="24"/>
      <w:lang w:val="ru-RU" w:eastAsia="ru-RU"/>
    </w:rPr>
  </w:style>
  <w:style w:type="character" w:styleId="Pagenumber">
    <w:name w:val="page number"/>
    <w:qFormat/>
    <w:rPr/>
  </w:style>
  <w:style w:type="character" w:styleId="31">
    <w:name w:val="Основной текст 3 Знак"/>
    <w:qFormat/>
    <w:rPr>
      <w:sz w:val="16"/>
    </w:rPr>
  </w:style>
  <w:style w:type="character" w:styleId="Annotationreference">
    <w:name w:val="annotation reference"/>
    <w:qFormat/>
    <w:rPr>
      <w:sz w:val="16"/>
    </w:rPr>
  </w:style>
  <w:style w:type="character" w:styleId="Style10">
    <w:name w:val="Текст сноски Знак"/>
    <w:qFormat/>
    <w:rPr/>
  </w:style>
  <w:style w:type="character" w:styleId="Style1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>
    <w:name w:val="Верхний колонтитул Знак"/>
    <w:qFormat/>
    <w:rPr/>
  </w:style>
  <w:style w:type="character" w:styleId="Style13">
    <w:name w:val="Нижний колонтитул Знак"/>
    <w:qFormat/>
    <w:rPr/>
  </w:style>
  <w:style w:type="character" w:styleId="Doctitleimportant">
    <w:name w:val="doc__title_important"/>
    <w:qFormat/>
    <w:rPr/>
  </w:style>
  <w:style w:type="character" w:styleId="2">
    <w:name w:val="Заголовок 2 Знак"/>
    <w:qFormat/>
    <w:rPr>
      <w:rFonts w:ascii="Calibri Light" w:hAnsi="Calibri Light" w:eastAsia="Calibri Light"/>
      <w:color w:val="2E74B5"/>
      <w:sz w:val="26"/>
    </w:rPr>
  </w:style>
  <w:style w:type="character" w:styleId="Style14">
    <w:name w:val="Тема примечания Знак"/>
    <w:qFormat/>
    <w:rPr>
      <w:b/>
    </w:rPr>
  </w:style>
  <w:style w:type="character" w:styleId="Style15">
    <w:name w:val="Текст примечания Знак"/>
    <w:qFormat/>
    <w:rPr/>
  </w:style>
  <w:style w:type="character" w:styleId="Style16">
    <w:name w:val="Знак примечания"/>
    <w:qFormat/>
    <w:rPr>
      <w:sz w:val="16"/>
    </w:rPr>
  </w:style>
  <w:style w:type="character" w:styleId="Title-info-title-text">
    <w:name w:val="title-info-title-text"/>
    <w:qFormat/>
    <w:rPr/>
  </w:style>
  <w:style w:type="character" w:styleId="Style17">
    <w:name w:val="Абзац списка Знак"/>
    <w:qFormat/>
    <w:rPr>
      <w:rFonts w:eastAsia="Calibri"/>
      <w:sz w:val="24"/>
    </w:rPr>
  </w:style>
  <w:style w:type="character" w:styleId="Style18">
    <w:name w:val="Основной текст с отступом Знак"/>
    <w:qFormat/>
    <w:rPr>
      <w:sz w:val="26"/>
    </w:rPr>
  </w:style>
  <w:style w:type="character" w:styleId="11">
    <w:name w:val="Пункт Знак1"/>
    <w:qFormat/>
    <w:rPr>
      <w:sz w:val="28"/>
      <w:lang w:val="ru-RU"/>
    </w:rPr>
  </w:style>
  <w:style w:type="character" w:styleId="Style19">
    <w:name w:val="Основной шрифт абзаца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20z1">
    <w:name w:val="WW8Num20z1"/>
    <w:qFormat/>
    <w:rPr/>
  </w:style>
  <w:style w:type="character" w:styleId="WW8Num20z0">
    <w:name w:val="WW8Num20z0"/>
    <w:qFormat/>
    <w:rPr>
      <w:rFonts w:ascii="Times New Roman" w:hAnsi="Times New Roman" w:eastAsia="Times New Roman"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/>
  </w:style>
  <w:style w:type="character" w:styleId="WW8Num18z0">
    <w:name w:val="WW8Num18z0"/>
    <w:qFormat/>
    <w:rPr/>
  </w:style>
  <w:style w:type="character" w:styleId="WW8Num17z2">
    <w:name w:val="WW8Num17z2"/>
    <w:qFormat/>
    <w:rPr>
      <w:rFonts w:ascii="Wingdings" w:hAnsi="Wingdings" w:eastAsia="Wingdings"/>
    </w:rPr>
  </w:style>
  <w:style w:type="character" w:styleId="WW8Num17z1">
    <w:name w:val="WW8Num17z1"/>
    <w:qFormat/>
    <w:rPr>
      <w:rFonts w:ascii="Courier New" w:hAnsi="Courier New" w:eastAsia="Courier New"/>
    </w:rPr>
  </w:style>
  <w:style w:type="character" w:styleId="WW8Num17z0">
    <w:name w:val="WW8Num17z0"/>
    <w:qFormat/>
    <w:rPr>
      <w:rFonts w:ascii="Symbol" w:hAnsi="Symbol" w:eastAsia="Symbol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6z0">
    <w:name w:val="WW8Num16z0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>
      <w:rFonts w:ascii="Symbol" w:hAnsi="Symbol" w:eastAsia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/>
  </w:style>
  <w:style w:type="character" w:styleId="WW8Num13z2">
    <w:name w:val="WW8Num13z2"/>
    <w:qFormat/>
    <w:rPr>
      <w:rFonts w:ascii="Wingdings" w:hAnsi="Wingdings" w:eastAsia="Wingdings"/>
    </w:rPr>
  </w:style>
  <w:style w:type="character" w:styleId="WW8Num13z1">
    <w:name w:val="WW8Num13z1"/>
    <w:qFormat/>
    <w:rPr>
      <w:rFonts w:ascii="Courier New" w:hAnsi="Courier New" w:eastAsia="Courier New"/>
    </w:rPr>
  </w:style>
  <w:style w:type="character" w:styleId="WW8Num13z0">
    <w:name w:val="WW8Num13z0"/>
    <w:qFormat/>
    <w:rPr>
      <w:rFonts w:ascii="Symbol" w:hAnsi="Symbol" w:eastAsia="Symbol"/>
    </w:rPr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12z0">
    <w:name w:val="WW8Num12z0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rFonts w:eastAsia="Arial Unicode MS"/>
      <w:sz w:val="20"/>
    </w:rPr>
  </w:style>
  <w:style w:type="character" w:styleId="WW8Num10z2">
    <w:name w:val="WW8Num10z2"/>
    <w:qFormat/>
    <w:rPr>
      <w:rFonts w:ascii="Wingdings" w:hAnsi="Wingdings" w:eastAsia="Wingdings"/>
    </w:rPr>
  </w:style>
  <w:style w:type="character" w:styleId="WW8Num10z1">
    <w:name w:val="WW8Num10z1"/>
    <w:qFormat/>
    <w:rPr>
      <w:rFonts w:ascii="Courier New" w:hAnsi="Courier New" w:eastAsia="Courier New"/>
    </w:rPr>
  </w:style>
  <w:style w:type="character" w:styleId="WW8Num10z0">
    <w:name w:val="WW8Num10z0"/>
    <w:qFormat/>
    <w:rPr>
      <w:rFonts w:ascii="Symbol" w:hAnsi="Symbol" w:eastAsia="Symbol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>
      <w:rFonts w:eastAsia="Arial Unicode MS"/>
      <w:sz w:val="20"/>
    </w:rPr>
  </w:style>
  <w:style w:type="character" w:styleId="WW8Num8z1">
    <w:name w:val="WW8Num8z1"/>
    <w:qFormat/>
    <w:rPr>
      <w:b/>
      <w:sz w:val="20"/>
    </w:rPr>
  </w:style>
  <w:style w:type="character" w:styleId="WW8Num8z0">
    <w:name w:val="WW8Num8z0"/>
    <w:qFormat/>
    <w:rPr>
      <w:b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>
      <w:sz w:val="24"/>
    </w:rPr>
  </w:style>
  <w:style w:type="character" w:styleId="WW8Num7z1">
    <w:name w:val="WW8Num7z1"/>
    <w:qFormat/>
    <w:rPr>
      <w:b/>
      <w:sz w:val="24"/>
    </w:rPr>
  </w:style>
  <w:style w:type="character" w:styleId="WW8Num7z0">
    <w:name w:val="WW8Num7z0"/>
    <w:qFormat/>
    <w:rPr>
      <w:b w:val="false"/>
      <w:sz w:val="24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eastAsia="Wingdings"/>
      <w:sz w:val="20"/>
    </w:rPr>
  </w:style>
  <w:style w:type="character" w:styleId="WW8Num5z1">
    <w:name w:val="WW8Num5z1"/>
    <w:qFormat/>
    <w:rPr>
      <w:rFonts w:ascii="Courier New" w:hAnsi="Courier New" w:eastAsia="Times New Roman"/>
      <w:sz w:val="20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>
      <w:rFonts w:eastAsia="Arial Unicode MS"/>
      <w:sz w:val="20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1">
    <w:name w:val="WW8Num2z1"/>
    <w:qFormat/>
    <w:rPr>
      <w:rFonts w:eastAsia="Times New Roman"/>
      <w:b/>
      <w:i/>
      <w:strike w:val="false"/>
      <w:dstrike w:val="false"/>
      <w:outline w:val="false"/>
      <w:shadow w:val="false"/>
      <w:sz w:val="20"/>
      <w:em w:val="none"/>
      <w:lang w:eastAsia="ru-RU"/>
    </w:rPr>
  </w:style>
  <w:style w:type="character" w:styleId="WW8Num2z0">
    <w:name w:val="WW8Num2z0"/>
    <w:qFormat/>
    <w:rPr>
      <w:b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Style20">
    <w:name w:val="Маркеры"/>
    <w:qFormat/>
    <w:rPr>
      <w:rFonts w:ascii="OpenSymbol" w:hAnsi="OpenSymbol" w:eastAsia="OpenSymbol" w:cs="OpenSymbol"/>
    </w:rPr>
  </w:style>
  <w:style w:type="character" w:styleId="Style21">
    <w:name w:val="Символ нумерации"/>
    <w:qFormat/>
    <w:rPr/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275bf"/>
    <w:pPr>
      <w:tabs>
        <w:tab w:val="clear" w:pos="720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12" w:customStyle="1">
    <w:name w:val="Стиль Заголовок 1 + по ширине"/>
    <w:basedOn w:val="Heading1"/>
    <w:qFormat/>
    <w:rsid w:val="004275bf"/>
    <w:pPr>
      <w:suppressAutoHyphens w:val="true"/>
      <w:spacing w:lineRule="auto" w:line="240" w:before="480" w:after="240"/>
    </w:pPr>
    <w:rPr>
      <w:rFonts w:ascii="Arial" w:hAnsi="Arial" w:eastAsia="Times New Roman" w:cs="Times New Roman"/>
      <w:b/>
      <w:bCs/>
      <w:color w:val="00000A"/>
      <w:sz w:val="40"/>
      <w:szCs w:val="20"/>
    </w:rPr>
  </w:style>
  <w:style w:type="paragraph" w:styleId="Style24">
    <w:name w:val="[РГ] Текст"/>
    <w:basedOn w:val="Normal"/>
    <w:qFormat/>
    <w:pPr>
      <w:jc w:val="both"/>
    </w:pPr>
    <w:rPr/>
  </w:style>
  <w:style w:type="paragraph" w:styleId="Style25">
    <w:name w:val="Обычный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Lohit Devanagari" w:cs="Liberation Serif"/>
      <w:color w:val="000000"/>
      <w:kern w:val="0"/>
      <w:sz w:val="24"/>
      <w:szCs w:val="24"/>
      <w:lang w:val="ru-RU" w:eastAsia="hi-IN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Liberation Serif"/>
      <w:color w:val="000000"/>
      <w:kern w:val="0"/>
      <w:sz w:val="24"/>
      <w:szCs w:val="24"/>
      <w:lang w:val="ru-RU" w:eastAsia="ar-SA" w:bidi="ar-SA"/>
    </w:rPr>
  </w:style>
  <w:style w:type="paragraph" w:styleId="Style26">
    <w:name w:val="Таблицы (моноширинный)"/>
    <w:basedOn w:val="Normal"/>
    <w:qFormat/>
    <w:pPr>
      <w:widowControl w:val="false"/>
      <w:suppressAutoHyphens w:val="true"/>
      <w:bidi w:val="0"/>
      <w:jc w:val="both"/>
    </w:pPr>
    <w:rPr>
      <w:rFonts w:ascii="Courier New" w:hAnsi="Courier New" w:eastAsia="Courier New"/>
      <w:color w:val="000000"/>
      <w:sz w:val="24"/>
      <w:lang w:val="ru-RU" w:eastAsia="ar-SA"/>
    </w:rPr>
  </w:style>
  <w:style w:type="paragraph" w:styleId="BodyTextIndent2">
    <w:name w:val="Body Text Indent 2"/>
    <w:basedOn w:val="Normal"/>
    <w:qFormat/>
    <w:pPr>
      <w:widowControl w:val="false"/>
      <w:suppressAutoHyphens w:val="true"/>
      <w:bidi w:val="0"/>
      <w:ind w:left="1843" w:right="0" w:hanging="0"/>
      <w:jc w:val="both"/>
    </w:pPr>
    <w:rPr>
      <w:rFonts w:ascii="Times New Roman" w:hAnsi="Times New Roman" w:eastAsia="Times New Roman"/>
      <w:color w:val="000000"/>
      <w:sz w:val="24"/>
      <w:lang w:val="ru-RU" w:eastAsia="ar-SA"/>
    </w:rPr>
  </w:style>
  <w:style w:type="paragraph" w:styleId="BalloonText">
    <w:name w:val="Balloon Text"/>
    <w:basedOn w:val="Normal"/>
    <w:qFormat/>
    <w:pPr>
      <w:widowControl w:val="false"/>
      <w:suppressAutoHyphens w:val="true"/>
      <w:bidi w:val="0"/>
      <w:jc w:val="left"/>
    </w:pPr>
    <w:rPr>
      <w:rFonts w:ascii="Tahoma" w:hAnsi="Tahoma" w:eastAsia="Tahoma"/>
      <w:color w:val="000000"/>
      <w:sz w:val="16"/>
      <w:lang w:val="ru-RU" w:eastAsia="ar-SA"/>
    </w:rPr>
  </w:style>
  <w:style w:type="paragraph" w:styleId="BodyText2">
    <w:name w:val="Body Text 2"/>
    <w:basedOn w:val="Normal"/>
    <w:qFormat/>
    <w:pPr>
      <w:widowControl/>
      <w:suppressAutoHyphens w:val="true"/>
      <w:bidi w:val="0"/>
      <w:spacing w:lineRule="auto" w:line="480" w:before="0" w:after="120"/>
      <w:jc w:val="left"/>
    </w:pPr>
    <w:rPr>
      <w:rFonts w:ascii="Times New Roman" w:hAnsi="Times New Roman" w:eastAsia="Times New Roman"/>
      <w:color w:val="000000"/>
      <w:sz w:val="24"/>
      <w:lang w:val="ru-RU" w:eastAsia="ar-SA"/>
    </w:rPr>
  </w:style>
  <w:style w:type="paragraph" w:styleId="BodyText3">
    <w:name w:val="Body Text 3"/>
    <w:basedOn w:val="Normal"/>
    <w:qFormat/>
    <w:pPr>
      <w:widowControl w:val="false"/>
      <w:suppressAutoHyphens w:val="true"/>
      <w:bidi w:val="0"/>
      <w:spacing w:before="0" w:after="120"/>
      <w:jc w:val="left"/>
    </w:pPr>
    <w:rPr>
      <w:rFonts w:ascii="Times New Roman" w:hAnsi="Times New Roman" w:eastAsia="Times New Roman"/>
      <w:color w:val="000000"/>
      <w:sz w:val="16"/>
      <w:lang w:val="ru-RU" w:eastAsia="ar-SA"/>
    </w:rPr>
  </w:style>
  <w:style w:type="paragraph" w:styleId="Annotationtext">
    <w:name w:val="annotation text"/>
    <w:basedOn w:val="Normal"/>
    <w:qFormat/>
    <w:pPr>
      <w:widowControl w:val="false"/>
      <w:suppressAutoHyphens w:val="true"/>
      <w:bidi w:val="0"/>
      <w:jc w:val="left"/>
    </w:pPr>
    <w:rPr>
      <w:rFonts w:ascii="Times New Roman" w:hAnsi="Times New Roman" w:eastAsia="Times New Roman"/>
      <w:color w:val="000000"/>
      <w:sz w:val="24"/>
      <w:lang w:val="ru-RU" w:eastAsia="ar-SA"/>
    </w:rPr>
  </w:style>
  <w:style w:type="paragraph" w:styleId="Annotationsubject">
    <w:name w:val="annotation subject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Lohit Devanagari" w:cs="Liberation Serif"/>
      <w:b/>
      <w:color w:val="000000"/>
      <w:kern w:val="0"/>
      <w:sz w:val="24"/>
      <w:szCs w:val="24"/>
      <w:lang w:val="ru-RU" w:eastAsia="hi-IN" w:bidi="ar-SA"/>
    </w:rPr>
  </w:style>
  <w:style w:type="paragraph" w:styleId="Style27">
    <w:name w:val="Знак Знак Знак Знак Знак Знак Знак Знак Знак"/>
    <w:basedOn w:val="Normal"/>
    <w:qFormat/>
    <w:pPr>
      <w:widowControl/>
      <w:suppressAutoHyphens w:val="true"/>
      <w:bidi w:val="0"/>
      <w:spacing w:lineRule="exact" w:line="240" w:before="0" w:after="160"/>
      <w:jc w:val="both"/>
    </w:pPr>
    <w:rPr>
      <w:rFonts w:ascii="Verdana" w:hAnsi="Verdana" w:eastAsia="Verdana"/>
      <w:color w:val="000000"/>
      <w:sz w:val="24"/>
      <w:lang w:val="ru-RU" w:eastAsia="en-US"/>
    </w:rPr>
  </w:style>
  <w:style w:type="paragraph" w:styleId="Style28">
    <w:name w:val="Подпункт договора"/>
    <w:basedOn w:val="Normal"/>
    <w:qFormat/>
    <w:pPr>
      <w:widowControl/>
      <w:tabs>
        <w:tab w:val="clear" w:pos="720"/>
        <w:tab w:val="left" w:pos="360" w:leader="none"/>
      </w:tabs>
      <w:suppressAutoHyphens w:val="true"/>
      <w:bidi w:val="0"/>
      <w:jc w:val="both"/>
    </w:pPr>
    <w:rPr>
      <w:rFonts w:ascii="Arial" w:hAnsi="Arial" w:eastAsia="Arial"/>
      <w:color w:val="000000"/>
      <w:sz w:val="24"/>
      <w:lang w:val="ru-RU" w:eastAsia="ar-SA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ind w:left="0" w:right="19772" w:firstLine="720"/>
      <w:jc w:val="left"/>
    </w:pPr>
    <w:rPr>
      <w:rFonts w:ascii="Arial" w:hAnsi="Arial" w:eastAsia="Arial" w:cs="Liberation Serif"/>
      <w:color w:val="000000"/>
      <w:kern w:val="0"/>
      <w:sz w:val="20"/>
      <w:szCs w:val="24"/>
      <w:lang w:val="ru-RU" w:eastAsia="ru-RU" w:bidi="ar-SA"/>
    </w:rPr>
  </w:style>
  <w:style w:type="paragraph" w:styleId="Style29">
    <w:name w:val="Знак"/>
    <w:basedOn w:val="Normal"/>
    <w:qFormat/>
    <w:pPr>
      <w:widowControl/>
      <w:suppressAutoHyphens w:val="true"/>
      <w:bidi w:val="0"/>
      <w:spacing w:lineRule="exact" w:line="240" w:before="0" w:after="160"/>
      <w:jc w:val="left"/>
    </w:pPr>
    <w:rPr>
      <w:rFonts w:ascii="Verdana" w:hAnsi="Verdana" w:eastAsia="Verdana"/>
      <w:color w:val="000000"/>
      <w:sz w:val="24"/>
      <w:lang w:val="en-US" w:eastAsia="ar-SA"/>
    </w:rPr>
  </w:style>
  <w:style w:type="paragraph" w:styleId="FootnoteText">
    <w:name w:val="Footnote Text"/>
    <w:basedOn w:val="Normal"/>
    <w:qFormat/>
    <w:pPr>
      <w:widowControl w:val="false"/>
      <w:suppressAutoHyphens w:val="true"/>
      <w:bidi w:val="0"/>
      <w:jc w:val="left"/>
    </w:pPr>
    <w:rPr>
      <w:rFonts w:ascii="Times New Roman" w:hAnsi="Times New Roman" w:eastAsia="Times New Roman"/>
      <w:color w:val="000000"/>
      <w:sz w:val="24"/>
      <w:lang w:val="ru-RU" w:eastAsia="ar-SA"/>
    </w:rPr>
  </w:style>
  <w:style w:type="paragraph" w:styleId="ListBullet3">
    <w:name w:val="List Bullet 3"/>
    <w:basedOn w:val="Normal"/>
    <w:qFormat/>
    <w:pPr>
      <w:widowControl/>
      <w:tabs>
        <w:tab w:val="clear" w:pos="720"/>
        <w:tab w:val="left" w:pos="1418" w:leader="none"/>
      </w:tabs>
      <w:suppressAutoHyphens w:val="true"/>
      <w:bidi w:val="0"/>
      <w:spacing w:lineRule="auto" w:line="360" w:before="120" w:after="0"/>
      <w:ind w:left="0" w:right="0" w:firstLine="720"/>
      <w:jc w:val="both"/>
    </w:pPr>
    <w:rPr>
      <w:rFonts w:ascii="Times New Roman" w:hAnsi="Times New Roman" w:eastAsia="Times New Roman"/>
      <w:i/>
      <w:color w:val="000000"/>
      <w:sz w:val="24"/>
      <w:lang w:val="ru-RU" w:eastAsia="ar-SA"/>
    </w:rPr>
  </w:style>
  <w:style w:type="paragraph" w:styleId="-">
    <w:name w:val="Контракт-пункт"/>
    <w:basedOn w:val="Normal"/>
    <w:qFormat/>
    <w:pPr>
      <w:widowControl/>
      <w:tabs>
        <w:tab w:val="clear" w:pos="720"/>
        <w:tab w:val="left" w:pos="2553" w:leader="none"/>
      </w:tabs>
      <w:suppressAutoHyphens w:val="true"/>
      <w:bidi w:val="0"/>
      <w:spacing w:lineRule="auto" w:line="360"/>
      <w:ind w:left="851" w:right="0" w:hanging="851"/>
      <w:jc w:val="both"/>
    </w:pPr>
    <w:rPr>
      <w:rFonts w:ascii="Times New Roman" w:hAnsi="Times New Roman" w:eastAsia="Times New Roman"/>
      <w:color w:val="000000"/>
      <w:sz w:val="28"/>
      <w:lang w:val="ru-RU" w:eastAsia="ar-SA"/>
    </w:rPr>
  </w:style>
  <w:style w:type="paragraph" w:styleId="DocumentMap">
    <w:name w:val="Document Map"/>
    <w:basedOn w:val="Normal"/>
    <w:qFormat/>
    <w:pPr>
      <w:widowControl w:val="false"/>
      <w:suppressAutoHyphens w:val="true"/>
      <w:bidi w:val="0"/>
      <w:jc w:val="left"/>
    </w:pPr>
    <w:rPr>
      <w:rFonts w:ascii="Tahoma" w:hAnsi="Tahoma" w:eastAsia="Tahoma"/>
      <w:color w:val="000000"/>
      <w:sz w:val="24"/>
      <w:lang w:val="ru-RU" w:eastAsia="ar-SA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000000"/>
      <w:kern w:val="0"/>
      <w:sz w:val="20"/>
      <w:szCs w:val="24"/>
      <w:lang w:val="ru-RU" w:eastAsia="ru-RU" w:bidi="ar-SA"/>
    </w:rPr>
  </w:style>
  <w:style w:type="paragraph" w:styleId="Style30">
    <w:name w:val="Пункт договора"/>
    <w:basedOn w:val="Normal"/>
    <w:qFormat/>
    <w:pPr>
      <w:widowControl w:val="false"/>
      <w:suppressAutoHyphens w:val="true"/>
      <w:bidi w:val="0"/>
      <w:jc w:val="both"/>
    </w:pPr>
    <w:rPr>
      <w:rFonts w:ascii="Arial" w:hAnsi="Arial" w:eastAsia="Arial"/>
      <w:color w:val="000000"/>
      <w:sz w:val="24"/>
      <w:lang w:val="ru-RU" w:eastAsia="ar-SA"/>
    </w:rPr>
  </w:style>
  <w:style w:type="paragraph" w:styleId="13">
    <w:name w:val="Знак Знак Знак Знак Знак Знак Знак Знак Знак1"/>
    <w:basedOn w:val="Normal"/>
    <w:qFormat/>
    <w:pPr>
      <w:widowControl/>
      <w:suppressAutoHyphens w:val="true"/>
      <w:bidi w:val="0"/>
      <w:spacing w:lineRule="exact" w:line="240" w:before="0" w:after="160"/>
      <w:jc w:val="both"/>
    </w:pPr>
    <w:rPr>
      <w:rFonts w:ascii="Verdana" w:hAnsi="Verdana" w:eastAsia="Verdana"/>
      <w:color w:val="000000"/>
      <w:sz w:val="24"/>
      <w:lang w:val="ru-RU" w:eastAsia="en-US"/>
    </w:rPr>
  </w:style>
  <w:style w:type="paragraph" w:styleId="14">
    <w:name w:val="Обычный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000000"/>
      <w:kern w:val="0"/>
      <w:sz w:val="20"/>
      <w:szCs w:val="24"/>
      <w:lang w:val="ru-RU" w:eastAsia="ru-RU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Liberation Serif" w:cs="Liberation Serif"/>
      <w:color w:val="000000"/>
      <w:kern w:val="0"/>
      <w:sz w:val="22"/>
      <w:szCs w:val="24"/>
      <w:lang w:val="ru-RU" w:eastAsia="hi-IN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Liberation Serif" w:cs="Liberation Serif"/>
      <w:color w:val="000000"/>
      <w:kern w:val="0"/>
      <w:sz w:val="20"/>
      <w:szCs w:val="24"/>
      <w:lang w:val="ru-RU" w:eastAsia="hi-IN" w:bidi="ar-SA"/>
    </w:rPr>
  </w:style>
  <w:style w:type="paragraph" w:styleId="ListParagraph">
    <w:name w:val="List Paragraph"/>
    <w:basedOn w:val="Normal"/>
    <w:qFormat/>
    <w:pPr>
      <w:widowControl/>
      <w:suppressAutoHyphens w:val="true"/>
      <w:bidi w:val="0"/>
      <w:spacing w:before="0" w:after="0"/>
      <w:ind w:left="720" w:right="0" w:hanging="0"/>
      <w:contextualSpacing/>
      <w:jc w:val="left"/>
    </w:pPr>
    <w:rPr>
      <w:rFonts w:ascii="Times New Roman" w:hAnsi="Times New Roman" w:eastAsia="Times New Roman"/>
      <w:color w:val="000000"/>
      <w:sz w:val="24"/>
      <w:lang w:val="ru-RU" w:eastAsia="ar-SA"/>
    </w:rPr>
  </w:style>
  <w:style w:type="paragraph" w:styleId="Style31">
    <w:name w:val="Тема примечан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/>
      <w:b/>
      <w:color w:val="000000"/>
      <w:kern w:val="0"/>
      <w:sz w:val="20"/>
      <w:szCs w:val="22"/>
      <w:lang w:val="ru-RU" w:eastAsia="ar-SA" w:bidi="ar-SA"/>
    </w:rPr>
  </w:style>
  <w:style w:type="paragraph" w:styleId="Style32">
    <w:name w:val="Текст примечания"/>
    <w:basedOn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/>
      <w:color w:val="000000"/>
      <w:sz w:val="20"/>
      <w:lang w:val="ru-RU" w:eastAsia="ar-SA"/>
    </w:rPr>
  </w:style>
  <w:style w:type="paragraph" w:styleId="Style33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000000"/>
      <w:kern w:val="0"/>
      <w:sz w:val="24"/>
      <w:szCs w:val="24"/>
      <w:lang w:val="ru-RU" w:eastAsia="ar-SA" w:bidi="ar-SA"/>
    </w:rPr>
  </w:style>
  <w:style w:type="paragraph" w:styleId="Style34">
    <w:name w:val="Абзац списка"/>
    <w:basedOn w:val="Normal"/>
    <w:qFormat/>
    <w:pPr>
      <w:widowControl/>
      <w:suppressAutoHyphens w:val="true"/>
      <w:bidi w:val="0"/>
      <w:spacing w:before="0" w:after="0"/>
      <w:ind w:left="720" w:right="0" w:hanging="0"/>
      <w:contextualSpacing/>
      <w:jc w:val="left"/>
    </w:pPr>
    <w:rPr>
      <w:rFonts w:ascii="Times New Roman" w:hAnsi="Times New Roman" w:eastAsia="Times New Roman"/>
      <w:color w:val="000000"/>
      <w:sz w:val="24"/>
      <w:lang w:val="ru-RU" w:eastAsia="ar-SA"/>
    </w:rPr>
  </w:style>
  <w:style w:type="paragraph" w:styleId="Style35">
    <w:name w:val="Текст выноски"/>
    <w:basedOn w:val="Normal"/>
    <w:qFormat/>
    <w:pPr>
      <w:widowControl/>
      <w:suppressAutoHyphens w:val="true"/>
      <w:bidi w:val="0"/>
      <w:jc w:val="left"/>
    </w:pPr>
    <w:rPr>
      <w:rFonts w:ascii="Tahoma" w:hAnsi="Tahoma" w:eastAsia="Tahoma"/>
      <w:color w:val="000000"/>
      <w:sz w:val="16"/>
      <w:lang w:val="ru-RU" w:eastAsia="ar-SA"/>
    </w:rPr>
  </w:style>
  <w:style w:type="paragraph" w:styleId="Style36">
    <w:name w:val="Пункт"/>
    <w:basedOn w:val="Normal"/>
    <w:qFormat/>
    <w:pPr>
      <w:widowControl/>
      <w:tabs>
        <w:tab w:val="clear" w:pos="720"/>
        <w:tab w:val="left" w:pos="3688" w:leader="none"/>
      </w:tabs>
      <w:suppressAutoHyphens w:val="true"/>
      <w:bidi w:val="0"/>
      <w:spacing w:lineRule="auto" w:line="360"/>
      <w:ind w:left="1844" w:right="0" w:hanging="1134"/>
      <w:jc w:val="both"/>
    </w:pPr>
    <w:rPr>
      <w:rFonts w:ascii="Times New Roman" w:hAnsi="Times New Roman" w:eastAsia="Times New Roman"/>
      <w:color w:val="000000"/>
      <w:sz w:val="28"/>
      <w:lang w:val="ru-RU" w:eastAsia="ar-SA"/>
    </w:rPr>
  </w:style>
  <w:style w:type="paragraph" w:styleId="Style37">
    <w:name w:val="Обычный (веб)"/>
    <w:basedOn w:val="Normal"/>
    <w:qFormat/>
    <w:pPr>
      <w:widowControl/>
      <w:suppressAutoHyphens w:val="true"/>
      <w:bidi w:val="0"/>
      <w:spacing w:before="280" w:after="280"/>
      <w:jc w:val="left"/>
    </w:pPr>
    <w:rPr>
      <w:rFonts w:ascii="Verdana" w:hAnsi="Verdana" w:eastAsia="Arial Unicode MS"/>
      <w:color w:val="333333"/>
      <w:sz w:val="16"/>
      <w:lang w:val="ru-RU" w:eastAsia="ar-SA"/>
    </w:rPr>
  </w:style>
  <w:style w:type="paragraph" w:styleId="Style38">
    <w:name w:val="Колонтитул"/>
    <w:basedOn w:val="Normal"/>
    <w:qFormat/>
    <w:pPr>
      <w:widowControl/>
      <w:tabs>
        <w:tab w:val="clear" w:pos="720"/>
        <w:tab w:val="center" w:pos="4819" w:leader="none"/>
        <w:tab w:val="right" w:pos="9638" w:leader="none"/>
      </w:tabs>
      <w:suppressAutoHyphens w:val="true"/>
      <w:bidi w:val="0"/>
      <w:jc w:val="left"/>
    </w:pPr>
    <w:rPr>
      <w:rFonts w:ascii="Times New Roman" w:hAnsi="Times New Roman" w:eastAsia="Times New Roman"/>
      <w:color w:val="000000"/>
      <w:sz w:val="24"/>
      <w:lang w:val="ru-RU"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40379815341">
    <w:name w:val="40379815341"/>
    <w:qFormat/>
  </w:style>
  <w:style w:type="numbering" w:styleId="30210147201">
    <w:name w:val="3021014720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Application>AlterOffice/3.3.1.3$Linux_X86_64 LibreOffice_project/90d829a0d92d6015ad4fa014ce4f460a7fe6c0ba</Application>
  <AppVersion>15.0000</AppVersion>
  <Pages>1</Pages>
  <Words>309</Words>
  <Characters>2149</Characters>
  <CharactersWithSpaces>2453</CharactersWithSpaces>
  <Paragraphs>15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2023-09-06T07:43:00Z</dcterms:created>
  <dc:creator>Цыганчук Ольга Владимировна</dc:creator>
  <dc:description/>
  <dc:language>ru-RU</dc:language>
  <cp:lastModifiedBy>ignatova_ta</cp:lastModifiedBy>
  <cp:lastPrinted>2026-01-30T13:35:42Z</cp:lastPrinted>
  <dcterms:modified xsi:type="dcterms:W3CDTF">2026-07-22T14:05:07Z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1855193</vt:i4>
  </property>
  <property fmtid="{D5CDD505-2E9C-101B-9397-08002B2CF9AE}" pid="3" name="_AuthorEmail">
    <vt:lpwstr>Lapidas-SS@amur.drsk.ru</vt:lpwstr>
  </property>
  <property fmtid="{D5CDD505-2E9C-101B-9397-08002B2CF9AE}" pid="4" name="_AuthorEmailDisplayName">
    <vt:lpwstr>Лапидас С.С.</vt:lpwstr>
  </property>
  <property fmtid="{D5CDD505-2E9C-101B-9397-08002B2CF9AE}" pid="5" name="_EmailSubject">
    <vt:lpwstr>АЭС Технические требования по 2 этапу ГКПЗ 2024 </vt:lpwstr>
  </property>
</Properties>
</file>